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CB68E" w14:textId="6E7D09BF" w:rsidR="00240E69" w:rsidRDefault="00240E69" w:rsidP="009212AA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201C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BOLETÍN DE PRENSA</w:t>
      </w:r>
      <w:r w:rsidR="0042157A" w:rsidRPr="00E201C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#</w:t>
      </w:r>
      <w:r w:rsidR="00D7247A" w:rsidRPr="00E201C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6 </w:t>
      </w:r>
    </w:p>
    <w:p w14:paraId="14D96B39" w14:textId="77777777" w:rsidR="00240E69" w:rsidRPr="00E201CF" w:rsidRDefault="00240E69" w:rsidP="009212AA">
      <w:pPr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eastAsia="es-CO"/>
        </w:rPr>
      </w:pPr>
    </w:p>
    <w:p w14:paraId="41E63FE9" w14:textId="39266675" w:rsidR="00A00837" w:rsidRPr="00B9713F" w:rsidRDefault="00F5024E" w:rsidP="00B9713F">
      <w:pPr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sz w:val="32"/>
          <w:szCs w:val="32"/>
          <w:lang w:eastAsia="es-CO"/>
        </w:rPr>
      </w:pPr>
      <w:r w:rsidRPr="00B9713F">
        <w:rPr>
          <w:rFonts w:asciiTheme="minorHAnsi" w:eastAsiaTheme="minorEastAsia" w:hAnsiTheme="minorHAnsi" w:cstheme="minorHAnsi"/>
          <w:b/>
          <w:bCs/>
          <w:color w:val="000000" w:themeColor="text1"/>
          <w:sz w:val="32"/>
          <w:szCs w:val="32"/>
          <w:lang w:eastAsia="es-CO"/>
        </w:rPr>
        <w:t>La Feria de las 2 Ruedas 2025 cerró con cifras récord: más de 92.000 visitantes y una derrama económica estimada de 33.9 millones de dólares en Medellín</w:t>
      </w:r>
    </w:p>
    <w:p w14:paraId="6F73FE3D" w14:textId="77777777" w:rsidR="00F5024E" w:rsidRPr="00E201CF" w:rsidRDefault="00F5024E" w:rsidP="009212AA">
      <w:pPr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eastAsia="es-CO"/>
        </w:rPr>
      </w:pPr>
    </w:p>
    <w:p w14:paraId="61CDB939" w14:textId="08EA1E94" w:rsidR="00F5024E" w:rsidRPr="00F5024E" w:rsidRDefault="00F5024E" w:rsidP="00F5024E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024E">
        <w:rPr>
          <w:rFonts w:asciiTheme="minorHAnsi" w:hAnsiTheme="minorHAnsi" w:cstheme="minorHAnsi"/>
          <w:b/>
          <w:bCs/>
          <w:sz w:val="22"/>
          <w:szCs w:val="22"/>
        </w:rPr>
        <w:t>535 expositores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104 de ellos internacionales, </w:t>
      </w:r>
      <w:r w:rsidRPr="00F5024E">
        <w:rPr>
          <w:rFonts w:asciiTheme="minorHAnsi" w:hAnsiTheme="minorHAnsi" w:cstheme="minorHAnsi"/>
          <w:b/>
          <w:bCs/>
          <w:sz w:val="22"/>
          <w:szCs w:val="22"/>
        </w:rPr>
        <w:t>consolidaron a la F2R como motor del crecimiento sectorial.</w:t>
      </w:r>
    </w:p>
    <w:p w14:paraId="527B5A4A" w14:textId="4FCD9C6E" w:rsidR="00F5024E" w:rsidRPr="00F5024E" w:rsidRDefault="00F5024E" w:rsidP="00F5024E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024E">
        <w:rPr>
          <w:rFonts w:asciiTheme="minorHAnsi" w:hAnsiTheme="minorHAnsi" w:cstheme="minorHAnsi"/>
          <w:b/>
          <w:bCs/>
          <w:sz w:val="22"/>
          <w:szCs w:val="22"/>
        </w:rPr>
        <w:t>Durante los cuatro días de feria se vendieron más de 1.600 motocicletas y se concretaron más de 150 citas empresariales en la Rueda de Negocios.</w:t>
      </w:r>
    </w:p>
    <w:p w14:paraId="5AD9E052" w14:textId="6143A1AC" w:rsidR="00B76D4F" w:rsidRPr="00F5024E" w:rsidRDefault="00F5024E" w:rsidP="00F5024E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5024E">
        <w:rPr>
          <w:rFonts w:asciiTheme="minorHAnsi" w:hAnsiTheme="minorHAnsi" w:cstheme="minorHAnsi"/>
          <w:b/>
          <w:bCs/>
          <w:sz w:val="22"/>
          <w:szCs w:val="22"/>
        </w:rPr>
        <w:t>La edición 2025 integró conocimiento, innovación, test drives, deportes extremos y un componente internacional que fortalece la proyección global del evento.</w:t>
      </w:r>
    </w:p>
    <w:p w14:paraId="3FBAE16F" w14:textId="77777777" w:rsidR="00753738" w:rsidRPr="00E201CF" w:rsidRDefault="00753738" w:rsidP="009212A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bookmarkStart w:id="0" w:name="OLE_LINK2"/>
    </w:p>
    <w:p w14:paraId="66C8F234" w14:textId="7891D4B0" w:rsidR="00753738" w:rsidRPr="00E201CF" w:rsidRDefault="00753738" w:rsidP="009212A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E201C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val="es-MX" w:eastAsia="en-US"/>
          <w14:ligatures w14:val="standardContextual"/>
        </w:rPr>
        <w:t>Medellín, 18 de mayo de 2025</w:t>
      </w:r>
      <w:r w:rsidRPr="00E201C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s-MX" w:eastAsia="en-US"/>
          <w14:ligatures w14:val="standardContextual"/>
        </w:rPr>
        <w:t xml:space="preserve">. La Feria de las 2 Ruedas </w:t>
      </w:r>
      <w:r w:rsidRPr="002971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val="es-MX" w:eastAsia="en-US"/>
          <w14:ligatures w14:val="standardContextual"/>
        </w:rPr>
        <w:t>finalizó su edición 2025 posicion</w:t>
      </w:r>
      <w:r w:rsidR="005C0F26" w:rsidRPr="002971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val="es-MX" w:eastAsia="en-US"/>
          <w14:ligatures w14:val="standardContextual"/>
        </w:rPr>
        <w:t>á</w:t>
      </w:r>
      <w:r w:rsidRPr="002971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val="es-MX" w:eastAsia="en-US"/>
          <w14:ligatures w14:val="standardContextual"/>
        </w:rPr>
        <w:t>ndose una vez más como el evento más importante de motociclismo</w:t>
      </w:r>
      <w:r w:rsidR="005C0F26" w:rsidRPr="002971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val="es-MX" w:eastAsia="en-US"/>
          <w14:ligatures w14:val="standardContextual"/>
        </w:rPr>
        <w:t xml:space="preserve"> en América</w:t>
      </w:r>
      <w:r w:rsidRPr="002971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val="es-MX" w:eastAsia="en-US"/>
          <w14:ligatures w14:val="standardContextual"/>
        </w:rPr>
        <w:t>.</w:t>
      </w:r>
      <w:r w:rsidRPr="00E201C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s-MX" w:eastAsia="en-US"/>
          <w14:ligatures w14:val="standardContextual"/>
        </w:rPr>
        <w:t xml:space="preserve"> Con una masiva asistencia y una destacada presencia internacional, la XVII versión </w:t>
      </w:r>
      <w:r w:rsidR="003D662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s-MX" w:eastAsia="en-US"/>
          <w14:ligatures w14:val="standardContextual"/>
        </w:rPr>
        <w:t xml:space="preserve">de la </w:t>
      </w:r>
      <w:r w:rsidRPr="00E201C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s-MX" w:eastAsia="en-US"/>
          <w14:ligatures w14:val="standardContextual"/>
        </w:rPr>
        <w:t xml:space="preserve">feria reafirmó su papel como plataforma clave para los negocios, la innovación, el deporte y el conocimiento en torno al mundo de las </w:t>
      </w:r>
      <w:r w:rsidR="003800E8" w:rsidRPr="00E201C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s-MX" w:eastAsia="en-US"/>
          <w14:ligatures w14:val="standardContextual"/>
        </w:rPr>
        <w:t>2 ruedas</w:t>
      </w:r>
      <w:r w:rsidRPr="00E201C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s-MX" w:eastAsia="en-US"/>
          <w14:ligatures w14:val="standardContextual"/>
        </w:rPr>
        <w:t>.</w:t>
      </w:r>
    </w:p>
    <w:bookmarkEnd w:id="0"/>
    <w:p w14:paraId="376C0EE2" w14:textId="77777777" w:rsidR="003D6620" w:rsidRPr="00E201CF" w:rsidRDefault="003D6620" w:rsidP="009212A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F552E4" w14:textId="56931515" w:rsidR="001D0E12" w:rsidRPr="00E201CF" w:rsidRDefault="001D0E12" w:rsidP="009212AA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201C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Asistencia </w:t>
      </w:r>
      <w:r w:rsidR="0076784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superó la meta</w:t>
      </w:r>
    </w:p>
    <w:p w14:paraId="6979B438" w14:textId="1C112EFC" w:rsidR="001D0E12" w:rsidRDefault="001D0E12" w:rsidP="009212A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Más de </w:t>
      </w:r>
      <w:r w:rsidR="00216318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92.000</w:t>
      </w:r>
      <w:r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visitantes de todo el</w:t>
      </w:r>
      <w:r w:rsidR="003800E8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país y el</w:t>
      </w:r>
      <w:r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mundo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recorrieron</w:t>
      </w:r>
      <w:r w:rsidR="004356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todos</w:t>
      </w:r>
      <w:r w:rsidR="003800E8"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los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pabellones de Plaza Mayor durante los cuatro días. </w:t>
      </w:r>
      <w:r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Delegaciones de más de 45 países</w:t>
      </w:r>
      <w:r w:rsidR="001027E1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y cerca de</w:t>
      </w:r>
      <w:r w:rsidR="00B35C10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12.000</w:t>
      </w:r>
      <w:r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empresarios internacionales acreditados</w:t>
      </w:r>
      <w:r w:rsidR="00AA1DB6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hicieron parte de una experiencia que este año fue aún más robusta, con un ambiente propicio para el intercambio comercial y la promoción de tendencias emergentes en movilidad.</w:t>
      </w:r>
    </w:p>
    <w:p w14:paraId="4371DE71" w14:textId="77777777" w:rsidR="001D0E12" w:rsidRDefault="001D0E12" w:rsidP="009212A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31B8FA" w14:textId="0CA84130" w:rsidR="003D6620" w:rsidRPr="003D6620" w:rsidRDefault="003D6620" w:rsidP="009212AA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5015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Ventas que aceleran la industria</w:t>
      </w:r>
    </w:p>
    <w:p w14:paraId="3AF1587B" w14:textId="584E4636" w:rsidR="003D6620" w:rsidRDefault="00B43B3E" w:rsidP="009212A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" w:name="OLE_LINK9"/>
      <w:r w:rsidRPr="00B43B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Además de ser una plataforma ideal para generar relaciones comerciales, la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Pr="00B43B3E">
        <w:rPr>
          <w:rFonts w:asciiTheme="minorHAnsi" w:hAnsiTheme="minorHAnsi" w:cstheme="minorHAnsi"/>
          <w:color w:val="000000" w:themeColor="text1"/>
          <w:sz w:val="22"/>
          <w:szCs w:val="22"/>
        </w:rPr>
        <w:t>2R también propicia cierres de negocio en tiempo real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 D</w:t>
      </w:r>
      <w:r w:rsidR="003D6620" w:rsidRPr="003D6620">
        <w:rPr>
          <w:rFonts w:asciiTheme="minorHAnsi" w:hAnsiTheme="minorHAnsi" w:cstheme="minorHAnsi"/>
          <w:color w:val="000000" w:themeColor="text1"/>
          <w:sz w:val="22"/>
          <w:szCs w:val="22"/>
        </w:rPr>
        <w:t>urante los cuatro días de feria</w:t>
      </w:r>
      <w:r w:rsidR="004356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D6620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se vendieron más de</w:t>
      </w:r>
      <w:r w:rsidR="00767849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1.600</w:t>
      </w:r>
      <w:r w:rsidR="003D6620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motocicletas,</w:t>
      </w:r>
      <w:r w:rsidR="003D6620" w:rsidRPr="003D66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superando las cifras del año anterior y confirmando el dinamismo del mercado. Además, se proyecta que en las semanas siguientes se concreten nuevas ventas derivadas de los contactos generados en feria, ratificando a la F2R como un escenario clave para el impulso comercial del sector de las</w:t>
      </w:r>
      <w:r w:rsidR="007678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</w:t>
      </w:r>
      <w:r w:rsidR="003D6620" w:rsidRPr="003D66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ruedas. Este dinamismo también se evidenció en la </w:t>
      </w:r>
      <w:r w:rsidR="003D6620" w:rsidRPr="009E497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Rueda de Negocios</w:t>
      </w:r>
      <w:r w:rsidR="003D6620" w:rsidRPr="003D6620">
        <w:rPr>
          <w:rFonts w:asciiTheme="minorHAnsi" w:hAnsiTheme="minorHAnsi" w:cstheme="minorHAnsi"/>
          <w:color w:val="000000" w:themeColor="text1"/>
          <w:sz w:val="22"/>
          <w:szCs w:val="22"/>
        </w:rPr>
        <w:t>, donde se lograron concretar más de</w:t>
      </w:r>
      <w:r w:rsidR="007678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67849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150</w:t>
      </w:r>
      <w:r w:rsidR="003D6620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encuentros entre empresarios,</w:t>
      </w:r>
      <w:r w:rsidR="003D6620" w:rsidRPr="003D66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678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reiterando a la </w:t>
      </w:r>
      <w:r w:rsidR="003D6620" w:rsidRPr="003D66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feria como un punto de encuentro indispensable para </w:t>
      </w:r>
      <w:r w:rsidR="007751FB">
        <w:rPr>
          <w:rFonts w:asciiTheme="minorHAnsi" w:hAnsiTheme="minorHAnsi" w:cstheme="minorHAnsi"/>
          <w:color w:val="000000" w:themeColor="text1"/>
          <w:sz w:val="22"/>
          <w:szCs w:val="22"/>
        </w:rPr>
        <w:t>el desarrollo y la proyección empresarial.</w:t>
      </w:r>
    </w:p>
    <w:bookmarkEnd w:id="1"/>
    <w:p w14:paraId="262ABD34" w14:textId="77777777" w:rsidR="007751FB" w:rsidRPr="00E201CF" w:rsidRDefault="007751FB" w:rsidP="009212A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0E2491" w14:textId="12CB9492" w:rsidR="003800E8" w:rsidRPr="00E201CF" w:rsidRDefault="00AB1607" w:rsidP="009212AA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2" w:name="OLE_LINK12"/>
      <w:r w:rsidRPr="00E201C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 w:rsidR="000C293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35</w:t>
      </w:r>
      <w:r w:rsidRPr="00E201C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expositores</w:t>
      </w:r>
      <w:r w:rsidR="005D1C9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 más de 2.000 marcas</w:t>
      </w:r>
      <w:r w:rsidRPr="00E201C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y</w:t>
      </w:r>
      <w:r w:rsidR="005D1C9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06478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un impacto estimado de </w:t>
      </w:r>
      <w:r w:rsidR="005D1C9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33</w:t>
      </w:r>
      <w:r w:rsidR="009212A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.9</w:t>
      </w:r>
      <w:r w:rsidR="005D1C9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millones de dólares en </w:t>
      </w:r>
      <w:r w:rsidR="003800E8" w:rsidRPr="00E201C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derrama económica </w:t>
      </w:r>
    </w:p>
    <w:p w14:paraId="63351C91" w14:textId="7FB13DBB" w:rsidR="001D322E" w:rsidRPr="0029718E" w:rsidRDefault="00AB1607" w:rsidP="009212AA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>Esta XVII versión reunió a</w:t>
      </w:r>
      <w:r w:rsidR="005D1C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más </w:t>
      </w:r>
      <w:r w:rsidR="005D1C9B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de 2.000 marcas de</w:t>
      </w:r>
      <w:r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5</w:t>
      </w:r>
      <w:r w:rsidR="000C2931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35</w:t>
      </w:r>
      <w:r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expositores</w:t>
      </w:r>
      <w:r w:rsidR="005D1C9B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</w:t>
      </w:r>
      <w:r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incluyendo </w:t>
      </w:r>
      <w:r w:rsidR="000C2931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104</w:t>
      </w:r>
      <w:r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internacionales</w:t>
      </w:r>
      <w:r w:rsidR="001D322E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y 300 representantes de las delegaciones de China e India.</w:t>
      </w:r>
      <w:r w:rsidR="001D32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Colombia, se contó con la presencia de más </w:t>
      </w:r>
      <w:r w:rsidR="001D322E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680 asistentes en las misiones comerciales.</w:t>
      </w:r>
    </w:p>
    <w:p w14:paraId="1A2C356B" w14:textId="77777777" w:rsidR="001D322E" w:rsidRDefault="001D322E" w:rsidP="009212A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CBF3D1" w14:textId="2252E9A3" w:rsidR="00FB593C" w:rsidRDefault="00FB593C" w:rsidP="009212A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Según la Secretaría de Desarrollo Económico de Medellín, la F2R generó una </w:t>
      </w:r>
      <w:r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derrama económica estimada de 33.9 millones de </w:t>
      </w:r>
      <w:r w:rsidR="00D01F98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dólares</w:t>
      </w:r>
      <w:r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beneficiando </w:t>
      </w:r>
      <w:r w:rsidR="00E50D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>sectores como</w:t>
      </w:r>
      <w:r w:rsidR="007751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hotelería, gastronomía, transporte, comercio</w:t>
      </w:r>
      <w:r w:rsidR="00435630">
        <w:rPr>
          <w:rFonts w:asciiTheme="minorHAnsi" w:hAnsiTheme="minorHAnsi" w:cstheme="minorHAnsi"/>
          <w:color w:val="000000" w:themeColor="text1"/>
          <w:sz w:val="22"/>
          <w:szCs w:val="22"/>
        </w:rPr>
        <w:t>, entretenimiento</w:t>
      </w:r>
      <w:r w:rsidR="005D1C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 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>servicios turísticos</w:t>
      </w:r>
      <w:r w:rsidR="005D1C9B">
        <w:rPr>
          <w:rFonts w:asciiTheme="minorHAnsi" w:hAnsiTheme="minorHAnsi" w:cstheme="minorHAnsi"/>
          <w:color w:val="000000" w:themeColor="text1"/>
          <w:sz w:val="22"/>
          <w:szCs w:val="22"/>
        </w:rPr>
        <w:t>, entre otros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La </w:t>
      </w:r>
      <w:r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ocupación </w:t>
      </w:r>
      <w:r w:rsidR="005D1C9B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de alojamiento</w:t>
      </w:r>
      <w:r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1D32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registrada durante los días del evento se ubicó en el </w:t>
      </w:r>
      <w:r w:rsidR="001717CC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82</w:t>
      </w:r>
      <w:r w:rsidR="005D1C9B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%</w:t>
      </w:r>
      <w:r w:rsidR="005D1C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según </w:t>
      </w:r>
      <w:r w:rsidR="001D322E">
        <w:rPr>
          <w:rFonts w:asciiTheme="minorHAnsi" w:hAnsiTheme="minorHAnsi" w:cstheme="minorHAnsi"/>
          <w:color w:val="000000" w:themeColor="text1"/>
          <w:sz w:val="22"/>
          <w:szCs w:val="22"/>
        </w:rPr>
        <w:t>cifras oficiales</w:t>
      </w:r>
      <w:bookmarkEnd w:id="2"/>
      <w:r w:rsidR="001D322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6E336D3" w14:textId="77777777" w:rsidR="001D322E" w:rsidRPr="00E201CF" w:rsidRDefault="001D322E" w:rsidP="009212A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492E7BD" w14:textId="15BB1DEA" w:rsidR="00FB593C" w:rsidRPr="00E201CF" w:rsidRDefault="00FB593C" w:rsidP="009212AA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201C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Más de </w:t>
      </w:r>
      <w:r w:rsidRPr="00F549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61</w:t>
      </w:r>
      <w:r w:rsidRPr="00E201C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lanzamientos en la Ruta de la innovación </w:t>
      </w:r>
    </w:p>
    <w:p w14:paraId="3AB97EAC" w14:textId="78561CD4" w:rsidR="001D0E12" w:rsidRDefault="00AB1607" w:rsidP="009212A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</w:t>
      </w:r>
      <w:r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“Ruta de la Innovación”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fue nuevamente el escenario elegido para la presentación de </w:t>
      </w:r>
      <w:r w:rsidR="005C0F26"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más de </w:t>
      </w:r>
      <w:r w:rsidR="005C0F26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61</w:t>
      </w:r>
      <w:r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nuevos modelos de motocicletas,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con lanzamientos simultáneos por parte de </w:t>
      </w:r>
      <w:r w:rsidR="009212AA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14 </w:t>
      </w:r>
      <w:r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ensambladoras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 concesionarios nacionales e internacionales.</w:t>
      </w:r>
    </w:p>
    <w:p w14:paraId="713E7642" w14:textId="77777777" w:rsidR="008829EA" w:rsidRPr="00E201CF" w:rsidRDefault="008829EA" w:rsidP="009212A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F709E0" w14:textId="2B26D83F" w:rsidR="0093433D" w:rsidRPr="00E201CF" w:rsidRDefault="0093433D" w:rsidP="009212AA">
      <w:pPr>
        <w:pStyle w:val="Ttulo3"/>
        <w:spacing w:before="0" w:after="0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</w:pPr>
      <w:bookmarkStart w:id="3" w:name="OLE_LINK7"/>
      <w:r w:rsidRPr="00E201CF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Conocimiento y formación en la F2R 2025</w:t>
      </w:r>
    </w:p>
    <w:p w14:paraId="6598D608" w14:textId="4B11F9BD" w:rsidR="00F53B6C" w:rsidRPr="00F53B6C" w:rsidRDefault="0093433D" w:rsidP="009212AA">
      <w:pPr>
        <w:pStyle w:val="Ttulo3"/>
        <w:spacing w:before="0" w:after="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201C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La Feria de las 2 Ruedas 2025 reafirmó su compromiso con la formación y el intercambio de saberes al </w:t>
      </w:r>
      <w:r w:rsidR="00E50D2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contar con </w:t>
      </w:r>
      <w:r w:rsidR="00E50D23" w:rsidRPr="0029718E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23 eventos </w:t>
      </w:r>
      <w:r w:rsidR="00C171C9" w:rsidRPr="0029718E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de conocimiento</w:t>
      </w:r>
      <w:r w:rsidR="0037418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Pr="00E201C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que </w:t>
      </w:r>
      <w:r w:rsidR="0000311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sumaron </w:t>
      </w:r>
      <w:r w:rsidRPr="00E201C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más de </w:t>
      </w:r>
      <w:r w:rsidR="00003113" w:rsidRPr="0029718E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1.930 </w:t>
      </w:r>
      <w:r w:rsidR="00F549CC" w:rsidRPr="0029718E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personas inscritas</w:t>
      </w:r>
      <w:r w:rsidRPr="0029718E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.</w:t>
      </w:r>
      <w:r w:rsidRPr="00E201C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Por primera vez, se llevó a cabo </w:t>
      </w:r>
      <w:r w:rsidR="00003113" w:rsidRPr="00E201C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el </w:t>
      </w:r>
      <w:r w:rsidR="00003113" w:rsidRPr="0029718E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1er Panel de Movilidad Sostenible y Ligera, </w:t>
      </w:r>
      <w:r w:rsidRPr="0029718E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el 1er Seminario de Seguridad Vial</w:t>
      </w:r>
      <w:r w:rsidR="00003113" w:rsidRPr="0029718E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1717CC" w:rsidRPr="0029718E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y el 1er Encuentro de Líderes Empresariales,</w:t>
      </w:r>
      <w:r w:rsidRPr="00E201C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1717C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tres</w:t>
      </w:r>
      <w:r w:rsidRPr="00E201C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espacios que marcaron un hito en la agenda académica de </w:t>
      </w:r>
      <w:r w:rsidR="00E50D2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la </w:t>
      </w:r>
      <w:r w:rsidR="00C171C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F2R</w:t>
      </w:r>
      <w:r w:rsidRPr="00E201C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. Estas actividades se sumaron a una programación que incluyó charlas, foros y talleres sobre movilidad eléctrica, mecánica, sostenibilidad, legislación vial e inclusión de la mujer en el motociclismo, consolidando </w:t>
      </w:r>
      <w:r w:rsidR="00C171C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estos encuentros</w:t>
      </w:r>
      <w:r w:rsidRPr="00E201C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como un escenario clave para el desarrollo del conocimiento </w:t>
      </w:r>
      <w:r w:rsidR="001717C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y novedades </w:t>
      </w:r>
      <w:r w:rsidRPr="00E201C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en la industria.</w:t>
      </w:r>
      <w:r w:rsidR="00F53B6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</w:p>
    <w:bookmarkEnd w:id="3"/>
    <w:p w14:paraId="26034CFE" w14:textId="77777777" w:rsidR="00E3308E" w:rsidRPr="00E201CF" w:rsidRDefault="00E3308E" w:rsidP="009212A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3423565" w14:textId="77777777" w:rsidR="00E201CF" w:rsidRPr="00E201CF" w:rsidRDefault="00E201CF" w:rsidP="009212A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lang w:val="es-MX" w:eastAsia="en-US"/>
          <w14:ligatures w14:val="standardContextual"/>
        </w:rPr>
      </w:pPr>
      <w:r w:rsidRPr="00E201CF">
        <w:rPr>
          <w:rFonts w:asciiTheme="minorHAnsi" w:eastAsiaTheme="minorHAnsi" w:hAnsiTheme="minorHAnsi" w:cstheme="minorHAnsi"/>
          <w:b/>
          <w:bCs/>
          <w:sz w:val="22"/>
          <w:szCs w:val="22"/>
          <w:lang w:val="es-MX" w:eastAsia="en-US"/>
          <w14:ligatures w14:val="standardContextual"/>
        </w:rPr>
        <w:t>Apoyo a emprendedores locales</w:t>
      </w:r>
    </w:p>
    <w:p w14:paraId="1F3D4FAA" w14:textId="371010BE" w:rsidR="00E201CF" w:rsidRPr="00E201CF" w:rsidRDefault="00E201CF" w:rsidP="009212AA">
      <w:pPr>
        <w:jc w:val="both"/>
        <w:rPr>
          <w:rFonts w:asciiTheme="minorHAnsi" w:eastAsiaTheme="minorHAnsi" w:hAnsiTheme="minorHAnsi" w:cstheme="minorHAnsi"/>
          <w:sz w:val="22"/>
          <w:szCs w:val="22"/>
          <w:lang w:val="es-MX" w:eastAsia="en-US"/>
          <w14:ligatures w14:val="standardContextual"/>
        </w:rPr>
      </w:pPr>
      <w:r w:rsidRPr="00E201CF">
        <w:rPr>
          <w:rFonts w:asciiTheme="minorHAnsi" w:eastAsiaTheme="minorHAnsi" w:hAnsiTheme="minorHAnsi" w:cstheme="minorHAnsi"/>
          <w:sz w:val="22"/>
          <w:szCs w:val="22"/>
          <w:lang w:val="es-MX" w:eastAsia="en-US"/>
          <w14:ligatures w14:val="standardContextual"/>
        </w:rPr>
        <w:t xml:space="preserve">Con el respaldo de la Alcaldía de Medellín, </w:t>
      </w:r>
      <w:r w:rsidR="00F2573F" w:rsidRPr="0029718E">
        <w:rPr>
          <w:rFonts w:asciiTheme="minorHAnsi" w:eastAsiaTheme="minorHAnsi" w:hAnsiTheme="minorHAnsi" w:cstheme="minorHAnsi"/>
          <w:b/>
          <w:bCs/>
          <w:sz w:val="22"/>
          <w:szCs w:val="22"/>
          <w:lang w:val="es-MX" w:eastAsia="en-US"/>
          <w14:ligatures w14:val="standardContextual"/>
        </w:rPr>
        <w:t>13</w:t>
      </w:r>
      <w:r w:rsidRPr="0029718E">
        <w:rPr>
          <w:rFonts w:asciiTheme="minorHAnsi" w:eastAsiaTheme="minorHAnsi" w:hAnsiTheme="minorHAnsi" w:cstheme="minorHAnsi"/>
          <w:b/>
          <w:bCs/>
          <w:sz w:val="22"/>
          <w:szCs w:val="22"/>
          <w:lang w:val="es-MX" w:eastAsia="en-US"/>
          <w14:ligatures w14:val="standardContextual"/>
        </w:rPr>
        <w:t xml:space="preserve"> emprendimientos locales</w:t>
      </w:r>
      <w:r w:rsidRPr="00E201CF">
        <w:rPr>
          <w:rFonts w:asciiTheme="minorHAnsi" w:eastAsiaTheme="minorHAnsi" w:hAnsiTheme="minorHAnsi" w:cstheme="minorHAnsi"/>
          <w:sz w:val="22"/>
          <w:szCs w:val="22"/>
          <w:lang w:val="es-MX" w:eastAsia="en-US"/>
          <w14:ligatures w14:val="standardContextual"/>
        </w:rPr>
        <w:t xml:space="preserve"> participaron en esta edición, presentando ideas innovadoras en accesorios, ropa especializada y soluciones tecnológicas para el mundo de las dos ruedas, incluyendo desarrollos dirigidos a personas con movilidad reducida.</w:t>
      </w:r>
    </w:p>
    <w:p w14:paraId="039811A3" w14:textId="77777777" w:rsidR="008829EA" w:rsidRPr="00E201CF" w:rsidRDefault="008829EA" w:rsidP="009212AA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6201FA4" w14:textId="1E6C7635" w:rsidR="0093433D" w:rsidRPr="00E201CF" w:rsidRDefault="0093433D" w:rsidP="009212AA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4" w:name="OLE_LINK5"/>
      <w:r w:rsidRPr="00E201C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El deporte sobre dos ruedas fue protagonista</w:t>
      </w:r>
    </w:p>
    <w:p w14:paraId="7EB6DF9E" w14:textId="0DE13BD5" w:rsidR="0093433D" w:rsidRPr="00E201CF" w:rsidRDefault="0093433D" w:rsidP="009212A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Más de </w:t>
      </w:r>
      <w:r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23.000 personas vibraron con los eventos deportivos,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donde se destacaron la Copa Stunt F2R </w:t>
      </w:r>
      <w:proofErr w:type="spellStart"/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>Nitrox</w:t>
      </w:r>
      <w:proofErr w:type="spellEnd"/>
      <w:r w:rsidR="000031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 las 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>categoría</w:t>
      </w:r>
      <w:r w:rsidR="00003113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open, alto cilindraje, 2</w:t>
      </w:r>
      <w:r w:rsidR="003741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>tiempos y 4 tiempos</w:t>
      </w:r>
      <w:r w:rsidR="000031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 Festival Stunt F2R </w:t>
      </w:r>
      <w:proofErr w:type="spellStart"/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>Nitrox</w:t>
      </w:r>
      <w:proofErr w:type="spellEnd"/>
      <w:r w:rsidR="00003113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las acrobacias del BMX y el </w:t>
      </w:r>
      <w:proofErr w:type="spellStart"/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>BikeTrial</w:t>
      </w:r>
      <w:proofErr w:type="spellEnd"/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>; y las compet</w:t>
      </w:r>
      <w:r w:rsidR="009212AA">
        <w:rPr>
          <w:rFonts w:asciiTheme="minorHAnsi" w:hAnsiTheme="minorHAnsi" w:cstheme="minorHAnsi"/>
          <w:color w:val="000000" w:themeColor="text1"/>
          <w:sz w:val="22"/>
          <w:szCs w:val="22"/>
        </w:rPr>
        <w:t>encias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GYMKHANA AKT. </w:t>
      </w:r>
      <w:r w:rsidR="00E3308E"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>Deportistas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nacionales e internacionales compitieron en un ambiente cargado de adrenalina y pasión por las motos.</w:t>
      </w:r>
    </w:p>
    <w:bookmarkEnd w:id="4"/>
    <w:p w14:paraId="5CFBFBFC" w14:textId="77777777" w:rsidR="008829EA" w:rsidRPr="00E201CF" w:rsidRDefault="008829EA" w:rsidP="009212A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FED24E" w14:textId="59E2F3E2" w:rsidR="008829EA" w:rsidRPr="00E201CF" w:rsidRDefault="008829EA" w:rsidP="009212A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5" w:name="OLE_LINK8"/>
      <w:bookmarkStart w:id="6" w:name="OLE_LINK10"/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 el marco del campeonato de la </w:t>
      </w:r>
      <w:r w:rsidR="00003113">
        <w:rPr>
          <w:rFonts w:asciiTheme="minorHAnsi" w:hAnsiTheme="minorHAnsi" w:cstheme="minorHAnsi"/>
          <w:color w:val="000000" w:themeColor="text1"/>
          <w:sz w:val="22"/>
          <w:szCs w:val="22"/>
        </w:rPr>
        <w:t>Copa Stunt -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categoría </w:t>
      </w:r>
      <w:r w:rsidR="00F2573F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pen, el primer puesto lo ocupó </w:t>
      </w:r>
      <w:r w:rsidR="00F2573F">
        <w:rPr>
          <w:rFonts w:asciiTheme="minorHAnsi" w:hAnsiTheme="minorHAnsi" w:cstheme="minorHAnsi"/>
          <w:color w:val="000000" w:themeColor="text1"/>
          <w:sz w:val="22"/>
          <w:szCs w:val="22"/>
        </w:rPr>
        <w:t>Luis Bernal</w:t>
      </w:r>
      <w:r w:rsidR="004D1F89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F257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>el segundo</w:t>
      </w:r>
      <w:r w:rsidR="004D1F8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2573F">
        <w:rPr>
          <w:rFonts w:asciiTheme="minorHAnsi" w:hAnsiTheme="minorHAnsi" w:cstheme="minorHAnsi"/>
          <w:color w:val="000000" w:themeColor="text1"/>
          <w:sz w:val="22"/>
          <w:szCs w:val="22"/>
        </w:rPr>
        <w:t>Juan Manuel Zambrano</w:t>
      </w:r>
      <w:r w:rsidR="00F426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“</w:t>
      </w:r>
      <w:r w:rsidR="00F2573F">
        <w:rPr>
          <w:rFonts w:asciiTheme="minorHAnsi" w:hAnsiTheme="minorHAnsi" w:cstheme="minorHAnsi"/>
          <w:color w:val="000000" w:themeColor="text1"/>
          <w:sz w:val="22"/>
          <w:szCs w:val="22"/>
        </w:rPr>
        <w:t>Juancho Stunt</w:t>
      </w:r>
      <w:r w:rsidR="00F4267A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 el tercero</w:t>
      </w:r>
      <w:r w:rsidR="004D1F8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257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James Alejandro </w:t>
      </w:r>
      <w:proofErr w:type="spellStart"/>
      <w:r w:rsidR="00F2573F">
        <w:rPr>
          <w:rFonts w:asciiTheme="minorHAnsi" w:hAnsiTheme="minorHAnsi" w:cstheme="minorHAnsi"/>
          <w:color w:val="000000" w:themeColor="text1"/>
          <w:sz w:val="22"/>
          <w:szCs w:val="22"/>
        </w:rPr>
        <w:t>Pieñeros</w:t>
      </w:r>
      <w:proofErr w:type="spellEnd"/>
      <w:r w:rsidR="00F257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4267A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F257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James </w:t>
      </w:r>
      <w:proofErr w:type="spellStart"/>
      <w:r w:rsidR="00F2573F">
        <w:rPr>
          <w:rFonts w:asciiTheme="minorHAnsi" w:hAnsiTheme="minorHAnsi" w:cstheme="minorHAnsi"/>
          <w:color w:val="000000" w:themeColor="text1"/>
          <w:sz w:val="22"/>
          <w:szCs w:val="22"/>
        </w:rPr>
        <w:t>Stunter</w:t>
      </w:r>
      <w:proofErr w:type="spellEnd"/>
      <w:r w:rsidR="00F4267A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En </w:t>
      </w:r>
      <w:r w:rsidR="00F4267A">
        <w:rPr>
          <w:rFonts w:asciiTheme="minorHAnsi" w:hAnsiTheme="minorHAnsi" w:cstheme="minorHAnsi"/>
          <w:color w:val="000000" w:themeColor="text1"/>
          <w:sz w:val="22"/>
          <w:szCs w:val="22"/>
        </w:rPr>
        <w:t>la categoría de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4267A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lto cilindraje, el primer puesto lo ocupó Pablo Zapata, </w:t>
      </w:r>
      <w:r w:rsidR="00F4267A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proofErr w:type="spellStart"/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>Vocha</w:t>
      </w:r>
      <w:proofErr w:type="spellEnd"/>
      <w:r w:rsidR="00F4267A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el segundo lugar fue para Julián Arias y el tercero para Marco Ramírez, </w:t>
      </w:r>
      <w:r w:rsidR="00F4267A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>Marco Stunt</w:t>
      </w:r>
      <w:r w:rsidR="00F4267A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FD6D96B" w14:textId="77777777" w:rsidR="008829EA" w:rsidRPr="00E201CF" w:rsidRDefault="008829EA" w:rsidP="009212A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5FCAF9" w14:textId="30EBE7CD" w:rsidR="008829EA" w:rsidRDefault="008829EA" w:rsidP="009212A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>En la categoría 2</w:t>
      </w:r>
      <w:r w:rsidR="00F426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50D23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F4267A">
        <w:rPr>
          <w:rFonts w:asciiTheme="minorHAnsi" w:hAnsiTheme="minorHAnsi" w:cstheme="minorHAnsi"/>
          <w:color w:val="000000" w:themeColor="text1"/>
          <w:sz w:val="22"/>
          <w:szCs w:val="22"/>
        </w:rPr>
        <w:t>iempos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el primer lugar lo obtuvo </w:t>
      </w:r>
      <w:proofErr w:type="spellStart"/>
      <w:r w:rsidRPr="00AA1DB6">
        <w:rPr>
          <w:rFonts w:asciiTheme="minorHAnsi" w:hAnsiTheme="minorHAnsi" w:cstheme="minorHAnsi"/>
          <w:color w:val="000000" w:themeColor="text1"/>
          <w:sz w:val="22"/>
          <w:szCs w:val="22"/>
        </w:rPr>
        <w:t>Neider</w:t>
      </w:r>
      <w:proofErr w:type="spellEnd"/>
      <w:r w:rsidRPr="00AA1D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AA1DB6">
        <w:rPr>
          <w:rFonts w:asciiTheme="minorHAnsi" w:hAnsiTheme="minorHAnsi" w:cstheme="minorHAnsi"/>
          <w:color w:val="000000" w:themeColor="text1"/>
          <w:sz w:val="22"/>
          <w:szCs w:val="22"/>
        </w:rPr>
        <w:t>Messino</w:t>
      </w:r>
      <w:proofErr w:type="spellEnd"/>
      <w:r w:rsidRPr="00AA1D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4267A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proofErr w:type="spellStart"/>
      <w:r w:rsidRPr="00AA1DB6">
        <w:rPr>
          <w:rFonts w:asciiTheme="minorHAnsi" w:hAnsiTheme="minorHAnsi" w:cstheme="minorHAnsi"/>
          <w:color w:val="000000" w:themeColor="text1"/>
          <w:sz w:val="22"/>
          <w:szCs w:val="22"/>
        </w:rPr>
        <w:t>Neider</w:t>
      </w:r>
      <w:proofErr w:type="spellEnd"/>
      <w:r w:rsidR="00E67A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</w:t>
      </w:r>
      <w:r w:rsidRPr="00AA1DB6">
        <w:rPr>
          <w:rFonts w:asciiTheme="minorHAnsi" w:hAnsiTheme="minorHAnsi" w:cstheme="minorHAnsi"/>
          <w:color w:val="000000" w:themeColor="text1"/>
          <w:sz w:val="22"/>
          <w:szCs w:val="22"/>
        </w:rPr>
        <w:t>tunt</w:t>
      </w:r>
      <w:r w:rsidR="00F4267A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Pr="00AA1DB6">
        <w:rPr>
          <w:rFonts w:asciiTheme="minorHAnsi" w:hAnsiTheme="minorHAnsi" w:cstheme="minorHAnsi"/>
          <w:color w:val="000000" w:themeColor="text1"/>
          <w:sz w:val="22"/>
          <w:szCs w:val="22"/>
        </w:rPr>
        <w:t>; el segundo</w:t>
      </w:r>
      <w:r w:rsidR="004D1F8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AA1D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Cristian Zuluaga, </w:t>
      </w:r>
      <w:r w:rsidR="00F4267A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proofErr w:type="spellStart"/>
      <w:r w:rsidR="00AA1DB6" w:rsidRPr="00AA1DB6">
        <w:rPr>
          <w:rFonts w:asciiTheme="minorHAnsi" w:hAnsiTheme="minorHAnsi" w:cstheme="minorHAnsi"/>
          <w:color w:val="000000" w:themeColor="text1"/>
          <w:sz w:val="22"/>
          <w:szCs w:val="22"/>
        </w:rPr>
        <w:t>Virni</w:t>
      </w:r>
      <w:proofErr w:type="spellEnd"/>
      <w:r w:rsidR="00F4267A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Pr="00AA1DB6">
        <w:rPr>
          <w:rFonts w:asciiTheme="minorHAnsi" w:hAnsiTheme="minorHAnsi" w:cstheme="minorHAnsi"/>
          <w:color w:val="000000" w:themeColor="text1"/>
          <w:sz w:val="22"/>
          <w:szCs w:val="22"/>
        </w:rPr>
        <w:t>; y el tercer</w:t>
      </w:r>
      <w:r w:rsidR="00F4267A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4D1F8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AA1D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A1DB6" w:rsidRPr="00AA1DB6">
        <w:rPr>
          <w:rFonts w:asciiTheme="minorHAnsi" w:hAnsiTheme="minorHAnsi" w:cstheme="minorHAnsi"/>
          <w:color w:val="000000" w:themeColor="text1"/>
          <w:sz w:val="22"/>
          <w:szCs w:val="22"/>
        </w:rPr>
        <w:t>Jhon</w:t>
      </w:r>
      <w:proofErr w:type="spellEnd"/>
      <w:r w:rsidR="00AA1DB6" w:rsidRPr="00AA1D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Mario Ortiz, </w:t>
      </w:r>
      <w:r w:rsidR="00F4267A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proofErr w:type="spellStart"/>
      <w:r w:rsidR="00AA1DB6" w:rsidRPr="00AA1DB6">
        <w:rPr>
          <w:rFonts w:asciiTheme="minorHAnsi" w:hAnsiTheme="minorHAnsi" w:cstheme="minorHAnsi"/>
          <w:color w:val="000000" w:themeColor="text1"/>
          <w:sz w:val="22"/>
          <w:szCs w:val="22"/>
        </w:rPr>
        <w:t>Jhonma_Baylay</w:t>
      </w:r>
      <w:proofErr w:type="spellEnd"/>
      <w:r w:rsidR="00F4267A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Pr="00AA1DB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426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Finalmente, en la</w:t>
      </w:r>
      <w:r w:rsidRPr="00AA1D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categoría 4</w:t>
      </w:r>
      <w:r w:rsidR="00F426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50D23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F4267A">
        <w:rPr>
          <w:rFonts w:asciiTheme="minorHAnsi" w:hAnsiTheme="minorHAnsi" w:cstheme="minorHAnsi"/>
          <w:color w:val="000000" w:themeColor="text1"/>
          <w:sz w:val="22"/>
          <w:szCs w:val="22"/>
        </w:rPr>
        <w:t>iempos</w:t>
      </w:r>
      <w:r w:rsidRPr="00AA1D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el primer </w:t>
      </w:r>
      <w:r w:rsidR="004D1F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puesto </w:t>
      </w:r>
      <w:r w:rsidR="00F426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fue para </w:t>
      </w:r>
      <w:r w:rsidR="00AA1DB6" w:rsidRPr="00AA1DB6">
        <w:rPr>
          <w:rFonts w:asciiTheme="minorHAnsi" w:hAnsiTheme="minorHAnsi" w:cstheme="minorHAnsi"/>
          <w:color w:val="000000" w:themeColor="text1"/>
          <w:sz w:val="22"/>
          <w:szCs w:val="22"/>
        </w:rPr>
        <w:t>Juan David Zuluaga</w:t>
      </w:r>
      <w:r w:rsidRPr="00AA1DB6">
        <w:rPr>
          <w:rFonts w:asciiTheme="minorHAnsi" w:hAnsiTheme="minorHAnsi" w:cstheme="minorHAnsi"/>
          <w:color w:val="000000" w:themeColor="text1"/>
          <w:sz w:val="22"/>
          <w:szCs w:val="22"/>
        </w:rPr>
        <w:t>; el segundo</w:t>
      </w:r>
      <w:r w:rsidR="004D1F8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AA1D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</w:t>
      </w:r>
      <w:proofErr w:type="spellStart"/>
      <w:r w:rsidR="00AA1DB6" w:rsidRPr="00AA1DB6">
        <w:rPr>
          <w:rFonts w:asciiTheme="minorHAnsi" w:hAnsiTheme="minorHAnsi" w:cstheme="minorHAnsi"/>
          <w:color w:val="000000" w:themeColor="text1"/>
          <w:sz w:val="22"/>
          <w:szCs w:val="22"/>
        </w:rPr>
        <w:t>Jhonny</w:t>
      </w:r>
      <w:proofErr w:type="spellEnd"/>
      <w:r w:rsidR="00AA1DB6" w:rsidRPr="00AA1D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Zapata</w:t>
      </w:r>
      <w:r w:rsidRPr="00AA1D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4267A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proofErr w:type="spellStart"/>
      <w:r w:rsidR="00AA1DB6" w:rsidRPr="00AA1DB6">
        <w:rPr>
          <w:rFonts w:asciiTheme="minorHAnsi" w:hAnsiTheme="minorHAnsi" w:cstheme="minorHAnsi"/>
          <w:color w:val="000000" w:themeColor="text1"/>
          <w:sz w:val="22"/>
          <w:szCs w:val="22"/>
        </w:rPr>
        <w:t>Jhonny</w:t>
      </w:r>
      <w:proofErr w:type="spellEnd"/>
      <w:r w:rsidR="00AA1DB6" w:rsidRPr="00AA1D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Stunt</w:t>
      </w:r>
      <w:r w:rsidR="00F4267A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Pr="00AA1DB6">
        <w:rPr>
          <w:rFonts w:asciiTheme="minorHAnsi" w:hAnsiTheme="minorHAnsi" w:cstheme="minorHAnsi"/>
          <w:color w:val="000000" w:themeColor="text1"/>
          <w:sz w:val="22"/>
          <w:szCs w:val="22"/>
        </w:rPr>
        <w:t>; y el tercer</w:t>
      </w:r>
      <w:r w:rsidR="00F4267A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4D1F8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426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A1D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para </w:t>
      </w:r>
      <w:r w:rsidR="00AA1DB6" w:rsidRPr="00AA1DB6">
        <w:rPr>
          <w:rFonts w:asciiTheme="minorHAnsi" w:hAnsiTheme="minorHAnsi" w:cstheme="minorHAnsi"/>
          <w:color w:val="000000" w:themeColor="text1"/>
          <w:sz w:val="22"/>
          <w:szCs w:val="22"/>
        </w:rPr>
        <w:t>José Edison Hernández</w:t>
      </w:r>
      <w:r w:rsidR="00AA1D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4267A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proofErr w:type="spellStart"/>
      <w:r w:rsidR="00AA1DB6">
        <w:rPr>
          <w:rFonts w:asciiTheme="minorHAnsi" w:hAnsiTheme="minorHAnsi" w:cstheme="minorHAnsi"/>
          <w:color w:val="000000" w:themeColor="text1"/>
          <w:sz w:val="22"/>
          <w:szCs w:val="22"/>
        </w:rPr>
        <w:t>Goku</w:t>
      </w:r>
      <w:proofErr w:type="spellEnd"/>
      <w:r w:rsidR="00AA1D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Stunt</w:t>
      </w:r>
      <w:r w:rsidR="00F4267A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="00AA1DB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D0B4291" w14:textId="77777777" w:rsidR="00D07D2D" w:rsidRDefault="00D07D2D" w:rsidP="009212A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F3B033" w14:textId="47A684AC" w:rsidR="00D07D2D" w:rsidRDefault="00D07D2D" w:rsidP="009212A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07D2D">
        <w:rPr>
          <w:rFonts w:asciiTheme="minorHAnsi" w:hAnsiTheme="minorHAnsi" w:cstheme="minorHAnsi"/>
          <w:color w:val="000000" w:themeColor="text1"/>
          <w:sz w:val="22"/>
          <w:szCs w:val="22"/>
        </w:rPr>
        <w:t>En la final de la Copa Stunt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D07D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los nueve mejores pilotos se llevaron los aplausos y el reconocimiento del público tras una competencia y una premiación cargada de emoción, técnica y adrenalina. El </w:t>
      </w:r>
      <w:r w:rsidRPr="00D07D2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primer lugar fue para </w:t>
      </w:r>
      <w:proofErr w:type="spellStart"/>
      <w:r w:rsidRPr="00D07D2D">
        <w:rPr>
          <w:rFonts w:asciiTheme="minorHAnsi" w:hAnsiTheme="minorHAnsi" w:cstheme="minorHAnsi"/>
          <w:color w:val="000000" w:themeColor="text1"/>
          <w:sz w:val="22"/>
          <w:szCs w:val="22"/>
        </w:rPr>
        <w:t>Neider</w:t>
      </w:r>
      <w:proofErr w:type="spellEnd"/>
      <w:r w:rsidRPr="00D07D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D07D2D">
        <w:rPr>
          <w:rFonts w:asciiTheme="minorHAnsi" w:hAnsiTheme="minorHAnsi" w:cstheme="minorHAnsi"/>
          <w:color w:val="000000" w:themeColor="text1"/>
          <w:sz w:val="22"/>
          <w:szCs w:val="22"/>
        </w:rPr>
        <w:t>Messino</w:t>
      </w:r>
      <w:proofErr w:type="spellEnd"/>
      <w:r w:rsidRPr="00D07D2D">
        <w:rPr>
          <w:rFonts w:asciiTheme="minorHAnsi" w:hAnsiTheme="minorHAnsi" w:cstheme="minorHAnsi"/>
          <w:color w:val="000000" w:themeColor="text1"/>
          <w:sz w:val="22"/>
          <w:szCs w:val="22"/>
        </w:rPr>
        <w:t>, “</w:t>
      </w:r>
      <w:proofErr w:type="spellStart"/>
      <w:r w:rsidRPr="00D07D2D">
        <w:rPr>
          <w:rFonts w:asciiTheme="minorHAnsi" w:hAnsiTheme="minorHAnsi" w:cstheme="minorHAnsi"/>
          <w:color w:val="000000" w:themeColor="text1"/>
          <w:sz w:val="22"/>
          <w:szCs w:val="22"/>
        </w:rPr>
        <w:t>Neider</w:t>
      </w:r>
      <w:proofErr w:type="spellEnd"/>
      <w:r w:rsidRPr="00D07D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Stunt”, seguido por Cristian Gil Zuluaga, “</w:t>
      </w:r>
      <w:proofErr w:type="spellStart"/>
      <w:r w:rsidRPr="00D07D2D">
        <w:rPr>
          <w:rFonts w:asciiTheme="minorHAnsi" w:hAnsiTheme="minorHAnsi" w:cstheme="minorHAnsi"/>
          <w:color w:val="000000" w:themeColor="text1"/>
          <w:sz w:val="22"/>
          <w:szCs w:val="22"/>
        </w:rPr>
        <w:t>Virni</w:t>
      </w:r>
      <w:proofErr w:type="spellEnd"/>
      <w:r w:rsidRPr="00D07D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”, y </w:t>
      </w:r>
      <w:proofErr w:type="spellStart"/>
      <w:r w:rsidRPr="00D07D2D">
        <w:rPr>
          <w:rFonts w:asciiTheme="minorHAnsi" w:hAnsiTheme="minorHAnsi" w:cstheme="minorHAnsi"/>
          <w:color w:val="000000" w:themeColor="text1"/>
          <w:sz w:val="22"/>
          <w:szCs w:val="22"/>
        </w:rPr>
        <w:t>Jhonny</w:t>
      </w:r>
      <w:proofErr w:type="spellEnd"/>
      <w:r w:rsidRPr="00D07D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Zapata Restrepo, “</w:t>
      </w:r>
      <w:proofErr w:type="spellStart"/>
      <w:r w:rsidRPr="00D07D2D">
        <w:rPr>
          <w:rFonts w:asciiTheme="minorHAnsi" w:hAnsiTheme="minorHAnsi" w:cstheme="minorHAnsi"/>
          <w:color w:val="000000" w:themeColor="text1"/>
          <w:sz w:val="22"/>
          <w:szCs w:val="22"/>
        </w:rPr>
        <w:t>Jhonny</w:t>
      </w:r>
      <w:proofErr w:type="spellEnd"/>
      <w:r w:rsidRPr="00D07D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Stunt”. El cuarto lugar lo ocupó Juan David Zuluaga Ramírez, “David Zuluaga”, mientras que José Edison Hernández, “</w:t>
      </w:r>
      <w:proofErr w:type="spellStart"/>
      <w:r w:rsidRPr="00D07D2D">
        <w:rPr>
          <w:rFonts w:asciiTheme="minorHAnsi" w:hAnsiTheme="minorHAnsi" w:cstheme="minorHAnsi"/>
          <w:color w:val="000000" w:themeColor="text1"/>
          <w:sz w:val="22"/>
          <w:szCs w:val="22"/>
        </w:rPr>
        <w:t>Goku</w:t>
      </w:r>
      <w:proofErr w:type="spellEnd"/>
      <w:r w:rsidRPr="00D07D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Stunt”, se posicionó en el quinto lugar. Completaron el listado de ganadores </w:t>
      </w:r>
      <w:proofErr w:type="spellStart"/>
      <w:r w:rsidRPr="00D07D2D">
        <w:rPr>
          <w:rFonts w:asciiTheme="minorHAnsi" w:hAnsiTheme="minorHAnsi" w:cstheme="minorHAnsi"/>
          <w:color w:val="000000" w:themeColor="text1"/>
          <w:sz w:val="22"/>
          <w:szCs w:val="22"/>
        </w:rPr>
        <w:t>Jhon</w:t>
      </w:r>
      <w:proofErr w:type="spellEnd"/>
      <w:r w:rsidRPr="00D07D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Mario Ortiz Muñoz, “</w:t>
      </w:r>
      <w:proofErr w:type="spellStart"/>
      <w:r w:rsidRPr="00D07D2D">
        <w:rPr>
          <w:rFonts w:asciiTheme="minorHAnsi" w:hAnsiTheme="minorHAnsi" w:cstheme="minorHAnsi"/>
          <w:color w:val="000000" w:themeColor="text1"/>
          <w:sz w:val="22"/>
          <w:szCs w:val="22"/>
        </w:rPr>
        <w:t>Jhonma</w:t>
      </w:r>
      <w:proofErr w:type="spellEnd"/>
      <w:r w:rsidRPr="00D07D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D07D2D">
        <w:rPr>
          <w:rFonts w:asciiTheme="minorHAnsi" w:hAnsiTheme="minorHAnsi" w:cstheme="minorHAnsi"/>
          <w:color w:val="000000" w:themeColor="text1"/>
          <w:sz w:val="22"/>
          <w:szCs w:val="22"/>
        </w:rPr>
        <w:t>Baylay</w:t>
      </w:r>
      <w:proofErr w:type="spellEnd"/>
      <w:r w:rsidRPr="00D07D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”; James Alejandro Piñeros Mora, “James </w:t>
      </w:r>
      <w:proofErr w:type="spellStart"/>
      <w:r w:rsidRPr="00D07D2D">
        <w:rPr>
          <w:rFonts w:asciiTheme="minorHAnsi" w:hAnsiTheme="minorHAnsi" w:cstheme="minorHAnsi"/>
          <w:color w:val="000000" w:themeColor="text1"/>
          <w:sz w:val="22"/>
          <w:szCs w:val="22"/>
        </w:rPr>
        <w:t>Stunter</w:t>
      </w:r>
      <w:proofErr w:type="spellEnd"/>
      <w:r w:rsidRPr="00D07D2D">
        <w:rPr>
          <w:rFonts w:asciiTheme="minorHAnsi" w:hAnsiTheme="minorHAnsi" w:cstheme="minorHAnsi"/>
          <w:color w:val="000000" w:themeColor="text1"/>
          <w:sz w:val="22"/>
          <w:szCs w:val="22"/>
        </w:rPr>
        <w:t>”; Luis Bernal, “Bernal”; y Juan Manuel Zambrano, “Juancho Stunt”, quienes demostraron por qué hacen parte de los mejores pilotos del stunt.</w:t>
      </w:r>
    </w:p>
    <w:p w14:paraId="54A3BB0B" w14:textId="77777777" w:rsidR="009212AA" w:rsidRDefault="009212AA" w:rsidP="009212A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bookmarkEnd w:id="5"/>
    <w:bookmarkEnd w:id="6"/>
    <w:p w14:paraId="3482582D" w14:textId="65285EF7" w:rsidR="009212AA" w:rsidRPr="009212AA" w:rsidRDefault="009212AA" w:rsidP="009212AA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212AA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9212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 competencia de Gymkhana AKT, los pilotos demostraron su destreza y agilidad en cada maniobra. El primer puesto fue para James Mejía, seguido por </w:t>
      </w:r>
      <w:r w:rsidR="00E50D23">
        <w:rPr>
          <w:rFonts w:asciiTheme="minorHAnsi" w:hAnsiTheme="minorHAnsi" w:cstheme="minorHAnsi"/>
          <w:color w:val="000000" w:themeColor="text1"/>
          <w:sz w:val="22"/>
          <w:szCs w:val="22"/>
        </w:rPr>
        <w:t>el competidor “</w:t>
      </w:r>
      <w:r w:rsidRPr="009212AA">
        <w:rPr>
          <w:rFonts w:asciiTheme="minorHAnsi" w:hAnsiTheme="minorHAnsi" w:cstheme="minorHAnsi"/>
          <w:color w:val="000000" w:themeColor="text1"/>
          <w:sz w:val="22"/>
          <w:szCs w:val="22"/>
        </w:rPr>
        <w:t>Baby Stunt</w:t>
      </w:r>
      <w:r w:rsidR="00E50D23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Pr="009212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 la segunda posición y Gaviria</w:t>
      </w:r>
      <w:r w:rsidR="004D1F8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9212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 el tercer lugar, quienes destacaron por su precisión y control en el circuito.</w:t>
      </w:r>
    </w:p>
    <w:p w14:paraId="2EEBAB5C" w14:textId="77777777" w:rsidR="004264A9" w:rsidRPr="00E201CF" w:rsidRDefault="004264A9" w:rsidP="009212AA">
      <w:pPr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00901C3F" w14:textId="61C174BC" w:rsidR="00753738" w:rsidRPr="00E201CF" w:rsidRDefault="00753738" w:rsidP="009212A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201C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Test Drive, una experiencia sobre ruedas</w:t>
      </w:r>
    </w:p>
    <w:p w14:paraId="3B6E94F2" w14:textId="780BF0A8" w:rsidR="00AE27F5" w:rsidRPr="00E201CF" w:rsidRDefault="00753738" w:rsidP="009212A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pista </w:t>
      </w:r>
      <w:r w:rsidR="00E50D23">
        <w:rPr>
          <w:rFonts w:asciiTheme="minorHAnsi" w:hAnsiTheme="minorHAnsi" w:cstheme="minorHAnsi"/>
          <w:color w:val="000000" w:themeColor="text1"/>
          <w:sz w:val="22"/>
          <w:szCs w:val="22"/>
        </w:rPr>
        <w:t>de Test Drive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volvió a ser uno de los espacios más concurridos, con más de</w:t>
      </w:r>
      <w:r w:rsidR="00AE27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16318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="00AE27F5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216318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85</w:t>
      </w:r>
      <w:r w:rsidR="00AE27F5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</w:t>
      </w:r>
      <w:r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E50D23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pruebas</w:t>
      </w:r>
      <w:r w:rsidR="00AE27F5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en vehículos de gasolina y más de </w:t>
      </w:r>
      <w:r w:rsidR="00B35C10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563</w:t>
      </w:r>
      <w:r w:rsidR="00AE27F5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en vehículos de movilidad </w:t>
      </w:r>
      <w:r w:rsidR="00E50D23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eléctrica y </w:t>
      </w:r>
      <w:r w:rsidR="00AE27F5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sostenible,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permit</w:t>
      </w:r>
      <w:r w:rsidR="00AE27F5">
        <w:rPr>
          <w:rFonts w:asciiTheme="minorHAnsi" w:hAnsiTheme="minorHAnsi" w:cstheme="minorHAnsi"/>
          <w:color w:val="000000" w:themeColor="text1"/>
          <w:sz w:val="22"/>
          <w:szCs w:val="22"/>
        </w:rPr>
        <w:t>ió</w:t>
      </w: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E27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los visitantes </w:t>
      </w:r>
      <w:r w:rsidR="00AE27F5" w:rsidRPr="00AE27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sentir la potencia, la maniobrabilidad y la tecnología de un modelo antes de tomar una decisión de compra. </w:t>
      </w:r>
    </w:p>
    <w:p w14:paraId="39E0C32B" w14:textId="77777777" w:rsidR="00753738" w:rsidRPr="00E201CF" w:rsidRDefault="00753738" w:rsidP="009212A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AC2B26" w14:textId="77777777" w:rsidR="00753738" w:rsidRPr="00E201CF" w:rsidRDefault="00753738" w:rsidP="009212AA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7" w:name="OLE_LINK6"/>
      <w:r w:rsidRPr="00E201C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Próximas citas para los amantes de las motocicletas y los motores</w:t>
      </w:r>
    </w:p>
    <w:p w14:paraId="2E004B8A" w14:textId="3582A58C" w:rsidR="00753738" w:rsidRPr="00E201CF" w:rsidRDefault="00753738" w:rsidP="009212AA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3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organización de la Feria de las 2 Ruedas invita desde ya a su próxima edición, que se celebrará del </w:t>
      </w:r>
      <w:r w:rsidR="00F53B6C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21</w:t>
      </w:r>
      <w:r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al </w:t>
      </w:r>
      <w:r w:rsidR="00F53B6C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24</w:t>
      </w:r>
      <w:r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de mayo de 2026.</w:t>
      </w:r>
      <w:r w:rsidRPr="00C3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Así mismo, se extiende la invitación a la </w:t>
      </w:r>
      <w:r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Expo2R en Bogotá,</w:t>
      </w:r>
      <w:r w:rsidRPr="00C3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que tendrá lugar en Corferias del </w:t>
      </w:r>
      <w:r w:rsidR="00E201CF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23</w:t>
      </w:r>
      <w:r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E201CF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al 26 </w:t>
      </w:r>
      <w:r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de </w:t>
      </w:r>
      <w:r w:rsidR="00E201CF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octubre</w:t>
      </w:r>
      <w:r w:rsidR="00E67A31" w:rsidRPr="002971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de 2025</w:t>
      </w:r>
      <w:r w:rsidR="00E201CF" w:rsidRPr="00C3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36CC4">
        <w:rPr>
          <w:rStyle w:val="s1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y al esperado </w:t>
      </w:r>
      <w:proofErr w:type="spellStart"/>
      <w:r w:rsidRPr="0029718E">
        <w:rPr>
          <w:rStyle w:val="s2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>Autoshow</w:t>
      </w:r>
      <w:proofErr w:type="spellEnd"/>
      <w:r w:rsidRPr="0029718E">
        <w:rPr>
          <w:rStyle w:val="s1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>,</w:t>
      </w:r>
      <w:r w:rsidRPr="00C36CC4">
        <w:rPr>
          <w:rStyle w:val="s1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 un espacio que combinará lo mejor de la movilidad sostenible y la industria automotriz del </w:t>
      </w:r>
      <w:r w:rsidRPr="0029718E">
        <w:rPr>
          <w:rStyle w:val="s1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>29 al 31 de agosto</w:t>
      </w:r>
      <w:r w:rsidR="00E67A31" w:rsidRPr="0029718E">
        <w:rPr>
          <w:rStyle w:val="s1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 xml:space="preserve"> de 2025</w:t>
      </w:r>
      <w:r w:rsidRPr="0029718E">
        <w:rPr>
          <w:rStyle w:val="s1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>.</w:t>
      </w:r>
      <w:r w:rsidRPr="00C36CC4">
        <w:rPr>
          <w:rStyle w:val="s1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 Todos estos eventos ratifican el compromiso del sector por dinamizar la economía y promover</w:t>
      </w:r>
      <w:r w:rsidRPr="00E201CF">
        <w:rPr>
          <w:rStyle w:val="s1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 nuevas formas de transporte en Colombia y América.</w:t>
      </w:r>
    </w:p>
    <w:bookmarkEnd w:id="7"/>
    <w:p w14:paraId="75094B06" w14:textId="77777777" w:rsidR="00753738" w:rsidRPr="00E201CF" w:rsidRDefault="00753738" w:rsidP="009212AA">
      <w:pPr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2D1E68B8" w14:textId="4C30BAFE" w:rsidR="008E09BC" w:rsidRPr="00E201CF" w:rsidRDefault="008E09BC" w:rsidP="009212A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01CF">
        <w:rPr>
          <w:rFonts w:asciiTheme="minorHAnsi" w:hAnsiTheme="minorHAnsi" w:cstheme="minorHAnsi"/>
          <w:color w:val="000000" w:themeColor="text1"/>
          <w:sz w:val="22"/>
          <w:szCs w:val="22"/>
        </w:rPr>
        <w:t>Si desea ampliar la información, comuníquese con el área de comunicaciones de la Feria de las 2 Ruedas.</w:t>
      </w:r>
    </w:p>
    <w:p w14:paraId="26D1BA0C" w14:textId="77777777" w:rsidR="008A4652" w:rsidRPr="00E201CF" w:rsidRDefault="008A4652" w:rsidP="009212A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B17591" w14:textId="51403F69" w:rsidR="008E09BC" w:rsidRPr="00E201CF" w:rsidRDefault="008E09BC" w:rsidP="009212AA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201C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Jason Gil Bedoya</w:t>
      </w:r>
      <w:r w:rsidRPr="00E201C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Líder de comunicaciones</w:t>
      </w:r>
      <w:r w:rsidRPr="00E201C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comunicaciones@prisma.com.co</w:t>
      </w:r>
      <w:r w:rsidRPr="00E201C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="00202FE5" w:rsidRPr="00E201C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+573182804760</w:t>
      </w:r>
    </w:p>
    <w:p w14:paraId="73323BF4" w14:textId="520DB3BD" w:rsidR="00F53B6C" w:rsidRPr="00E201CF" w:rsidRDefault="00B34CEE" w:rsidP="009212A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7" w:history="1">
        <w:r w:rsidRPr="00E201CF">
          <w:rPr>
            <w:rStyle w:val="Hipervnculo"/>
            <w:rFonts w:asciiTheme="minorHAnsi" w:hAnsiTheme="minorHAnsi" w:cstheme="minorHAnsi"/>
            <w:b/>
            <w:bCs/>
            <w:color w:val="000000" w:themeColor="text1"/>
            <w:sz w:val="22"/>
            <w:szCs w:val="22"/>
          </w:rPr>
          <w:t>Descargue</w:t>
        </w:r>
        <w:r w:rsidR="00A87F90" w:rsidRPr="00E201CF">
          <w:rPr>
            <w:rStyle w:val="Hipervnculo"/>
            <w:rFonts w:asciiTheme="minorHAnsi" w:hAnsiTheme="minorHAnsi" w:cstheme="minorHAnsi"/>
            <w:b/>
            <w:bCs/>
            <w:color w:val="000000" w:themeColor="text1"/>
            <w:sz w:val="22"/>
            <w:szCs w:val="22"/>
          </w:rPr>
          <w:t xml:space="preserve"> fotografías, videos y</w:t>
        </w:r>
        <w:r w:rsidRPr="00E201CF">
          <w:rPr>
            <w:rStyle w:val="Hipervnculo"/>
            <w:rFonts w:asciiTheme="minorHAnsi" w:hAnsiTheme="minorHAnsi" w:cstheme="minorHAnsi"/>
            <w:b/>
            <w:bCs/>
            <w:color w:val="000000" w:themeColor="text1"/>
            <w:sz w:val="22"/>
            <w:szCs w:val="22"/>
          </w:rPr>
          <w:t xml:space="preserve"> material de prensa aquí.</w:t>
        </w:r>
      </w:hyperlink>
    </w:p>
    <w:sectPr w:rsidR="00F53B6C" w:rsidRPr="00E201CF" w:rsidSect="00DC0B8A">
      <w:headerReference w:type="default" r:id="rId8"/>
      <w:footerReference w:type="default" r:id="rId9"/>
      <w:pgSz w:w="12240" w:h="15840"/>
      <w:pgMar w:top="2269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7540E" w14:textId="77777777" w:rsidR="00363169" w:rsidRDefault="00363169" w:rsidP="004470F4">
      <w:r>
        <w:separator/>
      </w:r>
    </w:p>
  </w:endnote>
  <w:endnote w:type="continuationSeparator" w:id="0">
    <w:p w14:paraId="4C691D02" w14:textId="77777777" w:rsidR="00363169" w:rsidRDefault="00363169" w:rsidP="0044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A50EF" w14:textId="5171862A" w:rsidR="008B5A4E" w:rsidRDefault="008B5A4E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0A786F3" wp14:editId="37A3EE38">
          <wp:simplePos x="0" y="0"/>
          <wp:positionH relativeFrom="page">
            <wp:align>left</wp:align>
          </wp:positionH>
          <wp:positionV relativeFrom="paragraph">
            <wp:posOffset>-294005</wp:posOffset>
          </wp:positionV>
          <wp:extent cx="7867650" cy="1083809"/>
          <wp:effectExtent l="0" t="0" r="0" b="2540"/>
          <wp:wrapNone/>
          <wp:docPr id="36556937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083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CA4D8" w14:textId="77777777" w:rsidR="00363169" w:rsidRDefault="00363169" w:rsidP="004470F4">
      <w:r>
        <w:separator/>
      </w:r>
    </w:p>
  </w:footnote>
  <w:footnote w:type="continuationSeparator" w:id="0">
    <w:p w14:paraId="445B59B2" w14:textId="77777777" w:rsidR="00363169" w:rsidRDefault="00363169" w:rsidP="00447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16108" w14:textId="2D8E9186" w:rsidR="008B5A4E" w:rsidRDefault="008B5A4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BF9614" wp14:editId="483CE83F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781925" cy="1071999"/>
          <wp:effectExtent l="0" t="0" r="0" b="0"/>
          <wp:wrapNone/>
          <wp:docPr id="9666612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071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E3D3A"/>
    <w:multiLevelType w:val="multilevel"/>
    <w:tmpl w:val="201E9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B1209"/>
    <w:multiLevelType w:val="hybridMultilevel"/>
    <w:tmpl w:val="CD30392C"/>
    <w:lvl w:ilvl="0" w:tplc="C8C2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1B24EB"/>
    <w:multiLevelType w:val="multilevel"/>
    <w:tmpl w:val="05329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15115"/>
    <w:multiLevelType w:val="hybridMultilevel"/>
    <w:tmpl w:val="6B18EEA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157BF"/>
    <w:multiLevelType w:val="multilevel"/>
    <w:tmpl w:val="13C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4270B"/>
    <w:multiLevelType w:val="hybridMultilevel"/>
    <w:tmpl w:val="1CE25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469C3"/>
    <w:multiLevelType w:val="multilevel"/>
    <w:tmpl w:val="5ED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437047"/>
    <w:multiLevelType w:val="hybridMultilevel"/>
    <w:tmpl w:val="D21E561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4709C7"/>
    <w:multiLevelType w:val="hybridMultilevel"/>
    <w:tmpl w:val="9376B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312FC"/>
    <w:multiLevelType w:val="hybridMultilevel"/>
    <w:tmpl w:val="652A7C0E"/>
    <w:lvl w:ilvl="0" w:tplc="86B200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D421D"/>
    <w:multiLevelType w:val="multilevel"/>
    <w:tmpl w:val="08EA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8558C2"/>
    <w:multiLevelType w:val="multilevel"/>
    <w:tmpl w:val="C7266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376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9938514">
    <w:abstractNumId w:val="1"/>
  </w:num>
  <w:num w:numId="3" w16cid:durableId="197028316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825914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0844258">
    <w:abstractNumId w:val="6"/>
  </w:num>
  <w:num w:numId="6" w16cid:durableId="2081829406">
    <w:abstractNumId w:val="4"/>
  </w:num>
  <w:num w:numId="7" w16cid:durableId="2108186922">
    <w:abstractNumId w:val="10"/>
  </w:num>
  <w:num w:numId="8" w16cid:durableId="1214466931">
    <w:abstractNumId w:val="5"/>
  </w:num>
  <w:num w:numId="9" w16cid:durableId="1209798398">
    <w:abstractNumId w:val="7"/>
  </w:num>
  <w:num w:numId="10" w16cid:durableId="2045250301">
    <w:abstractNumId w:val="9"/>
  </w:num>
  <w:num w:numId="11" w16cid:durableId="1742363060">
    <w:abstractNumId w:val="3"/>
  </w:num>
  <w:num w:numId="12" w16cid:durableId="18400751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54"/>
    <w:rsid w:val="000012BB"/>
    <w:rsid w:val="00003113"/>
    <w:rsid w:val="0002732D"/>
    <w:rsid w:val="00064784"/>
    <w:rsid w:val="00070437"/>
    <w:rsid w:val="00095CCE"/>
    <w:rsid w:val="000C2931"/>
    <w:rsid w:val="000E5A5D"/>
    <w:rsid w:val="000F0460"/>
    <w:rsid w:val="00101193"/>
    <w:rsid w:val="001027E1"/>
    <w:rsid w:val="001403C4"/>
    <w:rsid w:val="00143A17"/>
    <w:rsid w:val="00153A3C"/>
    <w:rsid w:val="001572A8"/>
    <w:rsid w:val="001717CC"/>
    <w:rsid w:val="00182987"/>
    <w:rsid w:val="001A04D1"/>
    <w:rsid w:val="001C16F9"/>
    <w:rsid w:val="001D0E12"/>
    <w:rsid w:val="001D2D90"/>
    <w:rsid w:val="001D322E"/>
    <w:rsid w:val="001E7300"/>
    <w:rsid w:val="00202FE5"/>
    <w:rsid w:val="00216318"/>
    <w:rsid w:val="00240E69"/>
    <w:rsid w:val="002521D8"/>
    <w:rsid w:val="00270585"/>
    <w:rsid w:val="00291957"/>
    <w:rsid w:val="0029718E"/>
    <w:rsid w:val="002A1687"/>
    <w:rsid w:val="002B271C"/>
    <w:rsid w:val="0030279E"/>
    <w:rsid w:val="00321485"/>
    <w:rsid w:val="00332601"/>
    <w:rsid w:val="00334BC3"/>
    <w:rsid w:val="00344682"/>
    <w:rsid w:val="00363169"/>
    <w:rsid w:val="00374182"/>
    <w:rsid w:val="003800E8"/>
    <w:rsid w:val="003D1D78"/>
    <w:rsid w:val="003D6620"/>
    <w:rsid w:val="004171CA"/>
    <w:rsid w:val="0042157A"/>
    <w:rsid w:val="00423889"/>
    <w:rsid w:val="004264A9"/>
    <w:rsid w:val="00435630"/>
    <w:rsid w:val="0044406D"/>
    <w:rsid w:val="004470F4"/>
    <w:rsid w:val="00457E94"/>
    <w:rsid w:val="00470F9C"/>
    <w:rsid w:val="004865ED"/>
    <w:rsid w:val="00487084"/>
    <w:rsid w:val="004A26EC"/>
    <w:rsid w:val="004A3489"/>
    <w:rsid w:val="004C09DA"/>
    <w:rsid w:val="004D1F89"/>
    <w:rsid w:val="004E1612"/>
    <w:rsid w:val="004F580C"/>
    <w:rsid w:val="00510CCB"/>
    <w:rsid w:val="005306D8"/>
    <w:rsid w:val="00534D43"/>
    <w:rsid w:val="00567797"/>
    <w:rsid w:val="00580987"/>
    <w:rsid w:val="005C02E2"/>
    <w:rsid w:val="005C0F26"/>
    <w:rsid w:val="005D12CF"/>
    <w:rsid w:val="005D1C9B"/>
    <w:rsid w:val="005E1E2C"/>
    <w:rsid w:val="0060022C"/>
    <w:rsid w:val="00604261"/>
    <w:rsid w:val="00613479"/>
    <w:rsid w:val="00613B2C"/>
    <w:rsid w:val="0061459E"/>
    <w:rsid w:val="00622048"/>
    <w:rsid w:val="00634FD2"/>
    <w:rsid w:val="00635F61"/>
    <w:rsid w:val="00650573"/>
    <w:rsid w:val="0065151D"/>
    <w:rsid w:val="00654F49"/>
    <w:rsid w:val="006568E5"/>
    <w:rsid w:val="00657A5F"/>
    <w:rsid w:val="006A7F64"/>
    <w:rsid w:val="006D0422"/>
    <w:rsid w:val="006E2B41"/>
    <w:rsid w:val="006E610A"/>
    <w:rsid w:val="006F0C73"/>
    <w:rsid w:val="006F2C94"/>
    <w:rsid w:val="0072668D"/>
    <w:rsid w:val="00733DEC"/>
    <w:rsid w:val="0074434E"/>
    <w:rsid w:val="00753738"/>
    <w:rsid w:val="00757E56"/>
    <w:rsid w:val="00767849"/>
    <w:rsid w:val="007751FB"/>
    <w:rsid w:val="00776DC9"/>
    <w:rsid w:val="00793C47"/>
    <w:rsid w:val="00793F8A"/>
    <w:rsid w:val="007B1E23"/>
    <w:rsid w:val="007C20D9"/>
    <w:rsid w:val="007C298C"/>
    <w:rsid w:val="007D288B"/>
    <w:rsid w:val="007D2B7A"/>
    <w:rsid w:val="007F263A"/>
    <w:rsid w:val="007F48D3"/>
    <w:rsid w:val="008171BD"/>
    <w:rsid w:val="00836EBF"/>
    <w:rsid w:val="00843310"/>
    <w:rsid w:val="008451F5"/>
    <w:rsid w:val="008703D8"/>
    <w:rsid w:val="00871A8B"/>
    <w:rsid w:val="00880FF0"/>
    <w:rsid w:val="00881086"/>
    <w:rsid w:val="008829EA"/>
    <w:rsid w:val="00883ECB"/>
    <w:rsid w:val="008848AF"/>
    <w:rsid w:val="008967B3"/>
    <w:rsid w:val="008A4652"/>
    <w:rsid w:val="008B5A4E"/>
    <w:rsid w:val="008E09BC"/>
    <w:rsid w:val="008F253A"/>
    <w:rsid w:val="0091456F"/>
    <w:rsid w:val="009212AA"/>
    <w:rsid w:val="0093433D"/>
    <w:rsid w:val="009343F5"/>
    <w:rsid w:val="009655A5"/>
    <w:rsid w:val="009901D5"/>
    <w:rsid w:val="00996990"/>
    <w:rsid w:val="009A1A42"/>
    <w:rsid w:val="009D405E"/>
    <w:rsid w:val="009D7683"/>
    <w:rsid w:val="009D7D55"/>
    <w:rsid w:val="009E497F"/>
    <w:rsid w:val="009E5BCC"/>
    <w:rsid w:val="009F44D0"/>
    <w:rsid w:val="00A00837"/>
    <w:rsid w:val="00A12FBA"/>
    <w:rsid w:val="00A65E0C"/>
    <w:rsid w:val="00A8075B"/>
    <w:rsid w:val="00A87F90"/>
    <w:rsid w:val="00A90FBD"/>
    <w:rsid w:val="00AA1DB6"/>
    <w:rsid w:val="00AA29A5"/>
    <w:rsid w:val="00AB1607"/>
    <w:rsid w:val="00AB528A"/>
    <w:rsid w:val="00AE27F5"/>
    <w:rsid w:val="00AF7AF5"/>
    <w:rsid w:val="00B12FC4"/>
    <w:rsid w:val="00B2160A"/>
    <w:rsid w:val="00B30C0A"/>
    <w:rsid w:val="00B34CEE"/>
    <w:rsid w:val="00B35C10"/>
    <w:rsid w:val="00B376B4"/>
    <w:rsid w:val="00B43B3E"/>
    <w:rsid w:val="00B50154"/>
    <w:rsid w:val="00B515E8"/>
    <w:rsid w:val="00B66089"/>
    <w:rsid w:val="00B76D4F"/>
    <w:rsid w:val="00B928FB"/>
    <w:rsid w:val="00B9713F"/>
    <w:rsid w:val="00BE3E74"/>
    <w:rsid w:val="00BE7DB4"/>
    <w:rsid w:val="00C11C24"/>
    <w:rsid w:val="00C171C9"/>
    <w:rsid w:val="00C277BD"/>
    <w:rsid w:val="00C36CC4"/>
    <w:rsid w:val="00C411EA"/>
    <w:rsid w:val="00C70E7D"/>
    <w:rsid w:val="00C928CB"/>
    <w:rsid w:val="00CA426E"/>
    <w:rsid w:val="00CC02D4"/>
    <w:rsid w:val="00CD664B"/>
    <w:rsid w:val="00CE706B"/>
    <w:rsid w:val="00CF24B8"/>
    <w:rsid w:val="00CF6B25"/>
    <w:rsid w:val="00D01F98"/>
    <w:rsid w:val="00D0464A"/>
    <w:rsid w:val="00D07D2D"/>
    <w:rsid w:val="00D17B48"/>
    <w:rsid w:val="00D42837"/>
    <w:rsid w:val="00D63E36"/>
    <w:rsid w:val="00D7247A"/>
    <w:rsid w:val="00D72C4B"/>
    <w:rsid w:val="00DC0B8A"/>
    <w:rsid w:val="00E159EF"/>
    <w:rsid w:val="00E201CF"/>
    <w:rsid w:val="00E202EB"/>
    <w:rsid w:val="00E266FC"/>
    <w:rsid w:val="00E30AA9"/>
    <w:rsid w:val="00E3308E"/>
    <w:rsid w:val="00E36F17"/>
    <w:rsid w:val="00E37510"/>
    <w:rsid w:val="00E50D23"/>
    <w:rsid w:val="00E67A31"/>
    <w:rsid w:val="00E84E54"/>
    <w:rsid w:val="00EC2A71"/>
    <w:rsid w:val="00ED0803"/>
    <w:rsid w:val="00ED2E68"/>
    <w:rsid w:val="00EE4A98"/>
    <w:rsid w:val="00F055EA"/>
    <w:rsid w:val="00F2573F"/>
    <w:rsid w:val="00F41C78"/>
    <w:rsid w:val="00F423BC"/>
    <w:rsid w:val="00F4267A"/>
    <w:rsid w:val="00F5024E"/>
    <w:rsid w:val="00F52E82"/>
    <w:rsid w:val="00F53B6C"/>
    <w:rsid w:val="00F549CC"/>
    <w:rsid w:val="00F75470"/>
    <w:rsid w:val="00FB593C"/>
    <w:rsid w:val="00FD6F76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2383"/>
  <w15:chartTrackingRefBased/>
  <w15:docId w15:val="{41108AA2-4331-44BD-B712-985414C7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D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84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4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84E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84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4E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4E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4E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4E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4E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4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4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E84E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E84E5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4E5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4E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4E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4E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4E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4E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4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4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4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4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4E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4E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4E5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4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4E5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4E5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470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70F4"/>
  </w:style>
  <w:style w:type="paragraph" w:styleId="Piedepgina">
    <w:name w:val="footer"/>
    <w:basedOn w:val="Normal"/>
    <w:link w:val="PiedepginaCar"/>
    <w:uiPriority w:val="99"/>
    <w:unhideWhenUsed/>
    <w:rsid w:val="004470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0F4"/>
  </w:style>
  <w:style w:type="character" w:styleId="Hipervnculo">
    <w:name w:val="Hyperlink"/>
    <w:basedOn w:val="Fuentedeprrafopredeter"/>
    <w:uiPriority w:val="99"/>
    <w:unhideWhenUsed/>
    <w:rsid w:val="008E09B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09BC"/>
    <w:rPr>
      <w:color w:val="605E5C"/>
      <w:shd w:val="clear" w:color="auto" w:fill="E1DFDD"/>
    </w:rPr>
  </w:style>
  <w:style w:type="character" w:customStyle="1" w:styleId="s12">
    <w:name w:val="s12"/>
    <w:basedOn w:val="Fuentedeprrafopredeter"/>
    <w:rsid w:val="00F52E82"/>
  </w:style>
  <w:style w:type="character" w:customStyle="1" w:styleId="apple-converted-space">
    <w:name w:val="apple-converted-space"/>
    <w:basedOn w:val="Fuentedeprrafopredeter"/>
    <w:rsid w:val="00F52E82"/>
  </w:style>
  <w:style w:type="character" w:customStyle="1" w:styleId="fadeinm1hgl8">
    <w:name w:val="_fadein_m1hgl_8"/>
    <w:basedOn w:val="Fuentedeprrafopredeter"/>
    <w:rsid w:val="00F52E82"/>
  </w:style>
  <w:style w:type="paragraph" w:customStyle="1" w:styleId="p1">
    <w:name w:val="p1"/>
    <w:basedOn w:val="Normal"/>
    <w:rsid w:val="0072668D"/>
    <w:pPr>
      <w:spacing w:before="100" w:beforeAutospacing="1" w:after="100" w:afterAutospacing="1"/>
    </w:pPr>
  </w:style>
  <w:style w:type="character" w:customStyle="1" w:styleId="s1">
    <w:name w:val="s1"/>
    <w:basedOn w:val="Fuentedeprrafopredeter"/>
    <w:rsid w:val="0072668D"/>
  </w:style>
  <w:style w:type="character" w:customStyle="1" w:styleId="s2">
    <w:name w:val="s2"/>
    <w:basedOn w:val="Fuentedeprrafopredeter"/>
    <w:rsid w:val="0072668D"/>
  </w:style>
  <w:style w:type="paragraph" w:customStyle="1" w:styleId="p2">
    <w:name w:val="p2"/>
    <w:basedOn w:val="Normal"/>
    <w:rsid w:val="0072668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B1E23"/>
    <w:pPr>
      <w:spacing w:before="100" w:beforeAutospacing="1" w:after="100" w:afterAutospacing="1"/>
    </w:pPr>
  </w:style>
  <w:style w:type="character" w:styleId="Hipervnculovisitado">
    <w:name w:val="FollowedHyperlink"/>
    <w:basedOn w:val="Fuentedeprrafopredeter"/>
    <w:uiPriority w:val="99"/>
    <w:semiHidden/>
    <w:unhideWhenUsed/>
    <w:rsid w:val="00836EBF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B76D4F"/>
    <w:rPr>
      <w:b/>
      <w:bCs/>
    </w:rPr>
  </w:style>
  <w:style w:type="character" w:styleId="nfasis">
    <w:name w:val="Emphasis"/>
    <w:basedOn w:val="Fuentedeprrafopredeter"/>
    <w:uiPriority w:val="20"/>
    <w:qFormat/>
    <w:rsid w:val="00B76D4F"/>
    <w:rPr>
      <w:i/>
      <w:iCs/>
    </w:rPr>
  </w:style>
  <w:style w:type="character" w:customStyle="1" w:styleId="s7">
    <w:name w:val="s7"/>
    <w:basedOn w:val="Fuentedeprrafopredeter"/>
    <w:rsid w:val="00657A5F"/>
  </w:style>
  <w:style w:type="paragraph" w:customStyle="1" w:styleId="s8">
    <w:name w:val="s8"/>
    <w:basedOn w:val="Normal"/>
    <w:rsid w:val="00657A5F"/>
    <w:pPr>
      <w:spacing w:before="100" w:beforeAutospacing="1" w:after="100" w:afterAutospacing="1"/>
    </w:pPr>
  </w:style>
  <w:style w:type="character" w:customStyle="1" w:styleId="s6">
    <w:name w:val="s6"/>
    <w:basedOn w:val="Fuentedeprrafopredeter"/>
    <w:rsid w:val="00657A5F"/>
  </w:style>
  <w:style w:type="paragraph" w:customStyle="1" w:styleId="p3">
    <w:name w:val="p3"/>
    <w:basedOn w:val="Normal"/>
    <w:rsid w:val="0093433D"/>
    <w:pPr>
      <w:spacing w:before="100" w:beforeAutospacing="1" w:after="100" w:afterAutospacing="1"/>
    </w:pPr>
  </w:style>
  <w:style w:type="character" w:customStyle="1" w:styleId="s3">
    <w:name w:val="s3"/>
    <w:basedOn w:val="Fuentedeprrafopredeter"/>
    <w:rsid w:val="0093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eria2ruedas.com/es/prensa/contenido-multimedia?directory=Piezas%20de%20la%20campa%C3%B1a%20%22La%20velocidad%20no%20es%20un%20juego%22%2C%20para%20el%20uso%20por%20parte%20de%20medios%20y%20empres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1225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Prisma</dc:creator>
  <cp:keywords/>
  <dc:description/>
  <cp:lastModifiedBy>Francisco Montoya</cp:lastModifiedBy>
  <cp:revision>38</cp:revision>
  <cp:lastPrinted>2025-03-21T14:44:00Z</cp:lastPrinted>
  <dcterms:created xsi:type="dcterms:W3CDTF">2025-05-18T14:31:00Z</dcterms:created>
  <dcterms:modified xsi:type="dcterms:W3CDTF">2025-05-19T13:45:00Z</dcterms:modified>
</cp:coreProperties>
</file>